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77777777"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0"/>
        <w:gridCol w:w="5353"/>
        <w:gridCol w:w="5354"/>
        <w:gridCol w:w="2013"/>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CM-19400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法令遵循制度</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配合證券商設置標準修訂，開放證券商得設置簡易分支機構或將一般分支機構變更為簡易分支機構，爰修正之。</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(一)經營證券承銷、自營及經紀業務之綜合證券商應設立隸屬於總經理之法令遵循單位，負責法令遵循制度之規劃、管理及執行。</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(一)經營證券承銷、自營及經紀業務之綜合證券商應設立隸屬於總經理之法令遵循單位，負責法令遵循制度之規劃、管理及執行。</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DE868" w14:textId="77777777">
        <w:tc>
          <w:tcPr>
            <w:tcW w:w="1384" w:type="dxa"/>
            <w:vMerge/>
            <w:tcBorders>
              <w:left w:val="single" w:sz="12" w:space="0" w:color="auto"/>
            </w:tcBorders>
          </w:tcPr>
          <w:p w14:paraId="5B929F92" w14:textId="77777777" w:rsidR="003B3105" w:rsidRDefault="003B3105" w:rsidP="001E533B">
            <w:pPr>
              <w:rPr>
                <w:rFonts w:ascii="新細明體" w:eastAsia="新細明體" w:hAnsi="新細明體"/>
              </w:rPr>
            </w:pPr>
          </w:p>
        </w:tc>
        <w:tc>
          <w:tcPr>
            <w:tcW w:w="1276" w:type="dxa"/>
            <w:vMerge/>
          </w:tcPr>
          <w:p w14:paraId="23008D51" w14:textId="77777777" w:rsidR="003B3105" w:rsidRDefault="003B3105" w:rsidP="001E533B">
            <w:pPr>
              <w:rPr>
                <w:rFonts w:ascii="新細明體" w:eastAsia="新細明體" w:hAnsi="新細明體"/>
              </w:rPr>
            </w:pPr>
          </w:p>
        </w:tc>
        <w:tc>
          <w:tcPr>
            <w:tcW w:w="5386" w:type="dxa"/>
            <w:tcBorders>
              <w:top w:val="nil"/>
              <w:bottom w:val="nil"/>
            </w:tcBorders>
          </w:tcPr>
          <w:p w14:paraId="673A17C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應指派高階主管一人擔任公司法令遵循主管，綜理法令遵循事務，至少每半年向董事會及各監察人報告，如發現有重大違反法令或遭主管機關調降評等時，應即時通報董事及監察人，並就法令遵循事項，提報董事會，其報告內容至少應包括上述事件原因分析、可能影響及改善建議。</w:t>
            </w:r>
          </w:p>
        </w:tc>
        <w:tc>
          <w:tcPr>
            <w:tcW w:w="5387" w:type="dxa"/>
            <w:tcBorders>
              <w:top w:val="nil"/>
              <w:bottom w:val="nil"/>
            </w:tcBorders>
          </w:tcPr>
          <w:p w14:paraId="3AAEB5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董事會應指派高階主管一人擔任公司法令遵循主管，綜理法令遵循事務，至少每半年向董事會及各監察人報告，如發現有重大違反法令或遭主管機關調降評等時，應即時通報董事及監察人，並就法令遵循事項，提報董事會，其報告內容至少應包括上述事件原因分析、可能影響及改善建議。</w:t>
            </w:r>
          </w:p>
        </w:tc>
        <w:tc>
          <w:tcPr>
            <w:tcW w:w="2023" w:type="dxa"/>
            <w:vMerge/>
            <w:tcBorders>
              <w:right w:val="single" w:sz="12" w:space="0" w:color="auto"/>
            </w:tcBorders>
          </w:tcPr>
          <w:p w14:paraId="5B6302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25C00A4" w14:textId="77777777">
        <w:tc>
          <w:tcPr>
            <w:tcW w:w="1384" w:type="dxa"/>
            <w:vMerge/>
            <w:tcBorders>
              <w:left w:val="single" w:sz="12" w:space="0" w:color="auto"/>
            </w:tcBorders>
          </w:tcPr>
          <w:p w14:paraId="13799109" w14:textId="77777777" w:rsidR="003B3105" w:rsidRDefault="003B3105" w:rsidP="001E533B">
            <w:pPr>
              <w:rPr>
                <w:rFonts w:ascii="新細明體" w:eastAsia="新細明體" w:hAnsi="新細明體"/>
              </w:rPr>
            </w:pPr>
          </w:p>
        </w:tc>
        <w:tc>
          <w:tcPr>
            <w:tcW w:w="1276" w:type="dxa"/>
            <w:vMerge/>
          </w:tcPr>
          <w:p w14:paraId="39BDC30A" w14:textId="77777777" w:rsidR="003B3105" w:rsidRDefault="003B3105" w:rsidP="001E533B">
            <w:pPr>
              <w:rPr>
                <w:rFonts w:ascii="新細明體" w:eastAsia="新細明體" w:hAnsi="新細明體"/>
              </w:rPr>
            </w:pPr>
          </w:p>
        </w:tc>
        <w:tc>
          <w:tcPr>
            <w:tcW w:w="5386" w:type="dxa"/>
            <w:tcBorders>
              <w:top w:val="nil"/>
              <w:bottom w:val="nil"/>
            </w:tcBorders>
          </w:tcPr>
          <w:p w14:paraId="3FF0218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(三)負責法令遵循之單位應辦理下列事項：</w:t>
            </w:r>
          </w:p>
        </w:tc>
        <w:tc>
          <w:tcPr>
            <w:tcW w:w="5387" w:type="dxa"/>
            <w:tcBorders>
              <w:top w:val="nil"/>
              <w:bottom w:val="nil"/>
            </w:tcBorders>
          </w:tcPr>
          <w:p w14:paraId="7A42ED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(三)負責法令遵循之單位應辦理下列事項：</w:t>
            </w:r>
          </w:p>
        </w:tc>
        <w:tc>
          <w:tcPr>
            <w:tcW w:w="2023" w:type="dxa"/>
            <w:vMerge/>
            <w:tcBorders>
              <w:right w:val="single" w:sz="12" w:space="0" w:color="auto"/>
            </w:tcBorders>
          </w:tcPr>
          <w:p w14:paraId="7499FB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38F13" w14:textId="77777777">
        <w:tc>
          <w:tcPr>
            <w:tcW w:w="1384" w:type="dxa"/>
            <w:vMerge/>
            <w:tcBorders>
              <w:left w:val="single" w:sz="12" w:space="0" w:color="auto"/>
            </w:tcBorders>
          </w:tcPr>
          <w:p w14:paraId="2E917237" w14:textId="77777777" w:rsidR="003B3105" w:rsidRDefault="003B3105" w:rsidP="001E533B">
            <w:pPr>
              <w:rPr>
                <w:rFonts w:ascii="新細明體" w:eastAsia="新細明體" w:hAnsi="新細明體"/>
              </w:rPr>
            </w:pPr>
          </w:p>
        </w:tc>
        <w:tc>
          <w:tcPr>
            <w:tcW w:w="1276" w:type="dxa"/>
            <w:vMerge/>
          </w:tcPr>
          <w:p w14:paraId="1CD76B45" w14:textId="77777777" w:rsidR="003B3105" w:rsidRDefault="003B3105" w:rsidP="001E533B">
            <w:pPr>
              <w:rPr>
                <w:rFonts w:ascii="新細明體" w:eastAsia="新細明體" w:hAnsi="新細明體"/>
              </w:rPr>
            </w:pPr>
          </w:p>
        </w:tc>
        <w:tc>
          <w:tcPr>
            <w:tcW w:w="5386" w:type="dxa"/>
            <w:tcBorders>
              <w:top w:val="nil"/>
              <w:bottom w:val="nil"/>
            </w:tcBorders>
          </w:tcPr>
          <w:p w14:paraId="0F3AEDE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5387" w:type="dxa"/>
            <w:tcBorders>
              <w:top w:val="nil"/>
              <w:bottom w:val="nil"/>
            </w:tcBorders>
          </w:tcPr>
          <w:p w14:paraId="62C503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1.建立清楚適當之法令傳達、諮詢、協調與溝通系統。</w:t>
            </w:r>
          </w:p>
        </w:tc>
        <w:tc>
          <w:tcPr>
            <w:tcW w:w="2023" w:type="dxa"/>
            <w:vMerge/>
            <w:tcBorders>
              <w:right w:val="single" w:sz="12" w:space="0" w:color="auto"/>
            </w:tcBorders>
          </w:tcPr>
          <w:p w14:paraId="3B2A87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C92501F" w14:textId="77777777">
        <w:tc>
          <w:tcPr>
            <w:tcW w:w="1384" w:type="dxa"/>
            <w:vMerge/>
            <w:tcBorders>
              <w:left w:val="single" w:sz="12" w:space="0" w:color="auto"/>
            </w:tcBorders>
          </w:tcPr>
          <w:p w14:paraId="42B4B195" w14:textId="77777777" w:rsidR="003B3105" w:rsidRDefault="003B3105" w:rsidP="001E533B">
            <w:pPr>
              <w:rPr>
                <w:rFonts w:ascii="新細明體" w:eastAsia="新細明體" w:hAnsi="新細明體"/>
              </w:rPr>
            </w:pPr>
          </w:p>
        </w:tc>
        <w:tc>
          <w:tcPr>
            <w:tcW w:w="1276" w:type="dxa"/>
            <w:vMerge/>
          </w:tcPr>
          <w:p w14:paraId="290D6743" w14:textId="77777777" w:rsidR="003B3105" w:rsidRDefault="003B3105" w:rsidP="001E533B">
            <w:pPr>
              <w:rPr>
                <w:rFonts w:ascii="新細明體" w:eastAsia="新細明體" w:hAnsi="新細明體"/>
              </w:rPr>
            </w:pPr>
          </w:p>
        </w:tc>
        <w:tc>
          <w:tcPr>
            <w:tcW w:w="5386" w:type="dxa"/>
            <w:tcBorders>
              <w:top w:val="nil"/>
              <w:bottom w:val="nil"/>
            </w:tcBorders>
          </w:tcPr>
          <w:p w14:paraId="023F4F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5387" w:type="dxa"/>
            <w:tcBorders>
              <w:top w:val="nil"/>
              <w:bottom w:val="nil"/>
            </w:tcBorders>
          </w:tcPr>
          <w:p w14:paraId="51E4685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2.確認各項作業及管理規章均配合相關法規適時更新，使各項營運活動符合法令規定，並應建立確認機制，例如加註諮詢意見並簽章等。</w:t>
            </w:r>
          </w:p>
        </w:tc>
        <w:tc>
          <w:tcPr>
            <w:tcW w:w="2023" w:type="dxa"/>
            <w:vMerge/>
            <w:tcBorders>
              <w:right w:val="single" w:sz="12" w:space="0" w:color="auto"/>
            </w:tcBorders>
          </w:tcPr>
          <w:p w14:paraId="4283FD1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FDBBB53" w14:textId="77777777">
        <w:tc>
          <w:tcPr>
            <w:tcW w:w="1384" w:type="dxa"/>
            <w:vMerge/>
            <w:tcBorders>
              <w:left w:val="single" w:sz="12" w:space="0" w:color="auto"/>
            </w:tcBorders>
          </w:tcPr>
          <w:p w14:paraId="7418A880" w14:textId="77777777" w:rsidR="003B3105" w:rsidRDefault="003B3105" w:rsidP="001E533B">
            <w:pPr>
              <w:rPr>
                <w:rFonts w:ascii="新細明體" w:eastAsia="新細明體" w:hAnsi="新細明體"/>
              </w:rPr>
            </w:pPr>
          </w:p>
        </w:tc>
        <w:tc>
          <w:tcPr>
            <w:tcW w:w="1276" w:type="dxa"/>
            <w:vMerge/>
          </w:tcPr>
          <w:p w14:paraId="71051E46" w14:textId="77777777" w:rsidR="003B3105" w:rsidRDefault="003B3105" w:rsidP="001E533B">
            <w:pPr>
              <w:rPr>
                <w:rFonts w:ascii="新細明體" w:eastAsia="新細明體" w:hAnsi="新細明體"/>
              </w:rPr>
            </w:pPr>
          </w:p>
        </w:tc>
        <w:tc>
          <w:tcPr>
            <w:tcW w:w="5386" w:type="dxa"/>
            <w:tcBorders>
              <w:top w:val="nil"/>
              <w:bottom w:val="nil"/>
            </w:tcBorders>
          </w:tcPr>
          <w:p w14:paraId="6C67534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5387" w:type="dxa"/>
            <w:tcBorders>
              <w:top w:val="nil"/>
              <w:bottom w:val="nil"/>
            </w:tcBorders>
          </w:tcPr>
          <w:p w14:paraId="52F36BC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3.訂定法令遵循之評估內容與程序，並督導各單位定期自行評估執行情形。</w:t>
            </w:r>
          </w:p>
        </w:tc>
        <w:tc>
          <w:tcPr>
            <w:tcW w:w="2023" w:type="dxa"/>
            <w:vMerge/>
            <w:tcBorders>
              <w:right w:val="single" w:sz="12" w:space="0" w:color="auto"/>
            </w:tcBorders>
          </w:tcPr>
          <w:p w14:paraId="5F7B14D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113E43" w14:textId="77777777">
        <w:tc>
          <w:tcPr>
            <w:tcW w:w="1384" w:type="dxa"/>
            <w:vMerge/>
            <w:tcBorders>
              <w:left w:val="single" w:sz="12" w:space="0" w:color="auto"/>
            </w:tcBorders>
          </w:tcPr>
          <w:p w14:paraId="7BAE279B" w14:textId="77777777" w:rsidR="003B3105" w:rsidRDefault="003B3105" w:rsidP="001E533B">
            <w:pPr>
              <w:rPr>
                <w:rFonts w:ascii="新細明體" w:eastAsia="新細明體" w:hAnsi="新細明體"/>
              </w:rPr>
            </w:pPr>
          </w:p>
        </w:tc>
        <w:tc>
          <w:tcPr>
            <w:tcW w:w="1276" w:type="dxa"/>
            <w:vMerge/>
          </w:tcPr>
          <w:p w14:paraId="633257F2" w14:textId="77777777" w:rsidR="003B3105" w:rsidRDefault="003B3105" w:rsidP="001E533B">
            <w:pPr>
              <w:rPr>
                <w:rFonts w:ascii="新細明體" w:eastAsia="新細明體" w:hAnsi="新細明體"/>
              </w:rPr>
            </w:pPr>
          </w:p>
        </w:tc>
        <w:tc>
          <w:tcPr>
            <w:tcW w:w="5386" w:type="dxa"/>
            <w:tcBorders>
              <w:top w:val="nil"/>
              <w:bottom w:val="nil"/>
            </w:tcBorders>
          </w:tcPr>
          <w:p w14:paraId="1D64DB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5387" w:type="dxa"/>
            <w:tcBorders>
              <w:top w:val="nil"/>
              <w:bottom w:val="nil"/>
            </w:tcBorders>
          </w:tcPr>
          <w:p w14:paraId="4151D94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4.對各單位人員施以適當合宜之法規訓練。</w:t>
            </w:r>
          </w:p>
        </w:tc>
        <w:tc>
          <w:tcPr>
            <w:tcW w:w="2023" w:type="dxa"/>
            <w:vMerge/>
            <w:tcBorders>
              <w:right w:val="single" w:sz="12" w:space="0" w:color="auto"/>
            </w:tcBorders>
          </w:tcPr>
          <w:p w14:paraId="7C08A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099C8F" w14:textId="77777777">
        <w:tc>
          <w:tcPr>
            <w:tcW w:w="1384" w:type="dxa"/>
            <w:vMerge/>
            <w:tcBorders>
              <w:left w:val="single" w:sz="12" w:space="0" w:color="auto"/>
            </w:tcBorders>
          </w:tcPr>
          <w:p w14:paraId="548E83F4" w14:textId="77777777" w:rsidR="003B3105" w:rsidRDefault="003B3105" w:rsidP="001E533B">
            <w:pPr>
              <w:rPr>
                <w:rFonts w:ascii="新細明體" w:eastAsia="新細明體" w:hAnsi="新細明體"/>
              </w:rPr>
            </w:pPr>
          </w:p>
        </w:tc>
        <w:tc>
          <w:tcPr>
            <w:tcW w:w="1276" w:type="dxa"/>
            <w:vMerge/>
          </w:tcPr>
          <w:p w14:paraId="7A690BF7" w14:textId="77777777" w:rsidR="003B3105" w:rsidRDefault="003B3105" w:rsidP="001E533B">
            <w:pPr>
              <w:rPr>
                <w:rFonts w:ascii="新細明體" w:eastAsia="新細明體" w:hAnsi="新細明體"/>
              </w:rPr>
            </w:pPr>
          </w:p>
        </w:tc>
        <w:tc>
          <w:tcPr>
            <w:tcW w:w="5386" w:type="dxa"/>
            <w:tcBorders>
              <w:top w:val="nil"/>
              <w:bottom w:val="nil"/>
            </w:tcBorders>
          </w:tcPr>
          <w:p w14:paraId="2AFD0B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u w:val="single"/>
              </w:rPr>
              <w:t>支機構及簡易分支機構</w:t>
            </w:r>
            <w:r>
              <w:rPr>
                <w:rFonts w:ascii="新細明體" w:eastAsia="新細明體" w:hAnsi="新細明體" w:cs="新細明體" w:hint="eastAsia"/>
              </w:rPr>
              <w:t>遵循其所在地國家之法令。</w:t>
            </w:r>
          </w:p>
        </w:tc>
        <w:tc>
          <w:tcPr>
            <w:tcW w:w="5387" w:type="dxa"/>
            <w:tcBorders>
              <w:top w:val="nil"/>
              <w:bottom w:val="nil"/>
            </w:tcBorders>
          </w:tcPr>
          <w:p w14:paraId="48A56E4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5.督導國內外分</w:t>
            </w:r>
            <w:r>
              <w:rPr>
                <w:rFonts w:ascii="新細明體" w:eastAsia="新細明體" w:hAnsi="新細明體" w:cs="新細明體" w:hint="eastAsia"/>
                <w:b/>
                <w:color w:val="FF0000"/>
              </w:rPr>
              <w:t>公司</w:t>
            </w:r>
            <w:r>
              <w:rPr>
                <w:rFonts w:ascii="新細明體" w:eastAsia="新細明體" w:hAnsi="新細明體" w:cs="新細明體" w:hint="eastAsia"/>
              </w:rPr>
              <w:t>遵循其所在地國家之法令。</w:t>
            </w:r>
          </w:p>
        </w:tc>
        <w:tc>
          <w:tcPr>
            <w:tcW w:w="2023" w:type="dxa"/>
            <w:vMerge/>
            <w:tcBorders>
              <w:right w:val="single" w:sz="12" w:space="0" w:color="auto"/>
            </w:tcBorders>
          </w:tcPr>
          <w:p w14:paraId="0D84F7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F31FBE" w14:textId="77777777">
        <w:tc>
          <w:tcPr>
            <w:tcW w:w="1384" w:type="dxa"/>
            <w:vMerge/>
            <w:tcBorders>
              <w:left w:val="single" w:sz="12" w:space="0" w:color="auto"/>
            </w:tcBorders>
          </w:tcPr>
          <w:p w14:paraId="28C7DF2F" w14:textId="77777777" w:rsidR="003B3105" w:rsidRDefault="003B3105" w:rsidP="001E533B">
            <w:pPr>
              <w:rPr>
                <w:rFonts w:ascii="新細明體" w:eastAsia="新細明體" w:hAnsi="新細明體"/>
              </w:rPr>
            </w:pPr>
          </w:p>
        </w:tc>
        <w:tc>
          <w:tcPr>
            <w:tcW w:w="1276" w:type="dxa"/>
            <w:vMerge/>
          </w:tcPr>
          <w:p w14:paraId="16C9E19F" w14:textId="77777777" w:rsidR="003B3105" w:rsidRDefault="003B3105" w:rsidP="001E533B">
            <w:pPr>
              <w:rPr>
                <w:rFonts w:ascii="新細明體" w:eastAsia="新細明體" w:hAnsi="新細明體"/>
              </w:rPr>
            </w:pPr>
          </w:p>
        </w:tc>
        <w:tc>
          <w:tcPr>
            <w:tcW w:w="5386" w:type="dxa"/>
            <w:tcBorders>
              <w:top w:val="nil"/>
              <w:bottom w:val="nil"/>
            </w:tcBorders>
          </w:tcPr>
          <w:p w14:paraId="59E158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5387" w:type="dxa"/>
            <w:tcBorders>
              <w:top w:val="nil"/>
              <w:bottom w:val="nil"/>
            </w:tcBorders>
          </w:tcPr>
          <w:p w14:paraId="350EA6C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6.其他經主管機關規定應辦理之事項。</w:t>
            </w:r>
          </w:p>
        </w:tc>
        <w:tc>
          <w:tcPr>
            <w:tcW w:w="2023" w:type="dxa"/>
            <w:vMerge/>
            <w:tcBorders>
              <w:right w:val="single" w:sz="12" w:space="0" w:color="auto"/>
            </w:tcBorders>
          </w:tcPr>
          <w:p w14:paraId="0E21422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AD534B" w14:textId="77777777">
        <w:tc>
          <w:tcPr>
            <w:tcW w:w="1384" w:type="dxa"/>
            <w:vMerge/>
            <w:tcBorders>
              <w:left w:val="single" w:sz="12" w:space="0" w:color="auto"/>
            </w:tcBorders>
          </w:tcPr>
          <w:p w14:paraId="06158C80" w14:textId="77777777" w:rsidR="003B3105" w:rsidRDefault="003B3105" w:rsidP="001E533B">
            <w:pPr>
              <w:rPr>
                <w:rFonts w:ascii="新細明體" w:eastAsia="新細明體" w:hAnsi="新細明體"/>
              </w:rPr>
            </w:pPr>
          </w:p>
        </w:tc>
        <w:tc>
          <w:tcPr>
            <w:tcW w:w="1276" w:type="dxa"/>
            <w:vMerge/>
          </w:tcPr>
          <w:p w14:paraId="03BBC120" w14:textId="77777777" w:rsidR="003B3105" w:rsidRDefault="003B3105" w:rsidP="001E533B">
            <w:pPr>
              <w:rPr>
                <w:rFonts w:ascii="新細明體" w:eastAsia="新細明體" w:hAnsi="新細明體"/>
              </w:rPr>
            </w:pPr>
          </w:p>
        </w:tc>
        <w:tc>
          <w:tcPr>
            <w:tcW w:w="5386" w:type="dxa"/>
            <w:tcBorders>
              <w:top w:val="nil"/>
              <w:bottom w:val="nil"/>
            </w:tcBorders>
          </w:tcPr>
          <w:p w14:paraId="54ECAC0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(四)設有國外分公司者，負責法令遵循之單位</w:t>
            </w:r>
            <w:r>
              <w:rPr>
                <w:rFonts w:ascii="新細明體" w:eastAsia="新細明體" w:hAnsi="新細明體" w:cs="新細明體" w:hint="eastAsia"/>
              </w:rPr>
              <w:lastRenderedPageBreak/>
              <w:t>應督導國外分公司辦理下列事項：</w:t>
            </w:r>
          </w:p>
        </w:tc>
        <w:tc>
          <w:tcPr>
            <w:tcW w:w="5387" w:type="dxa"/>
            <w:tcBorders>
              <w:top w:val="nil"/>
              <w:bottom w:val="nil"/>
            </w:tcBorders>
          </w:tcPr>
          <w:p w14:paraId="1691A7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(四)設有國外分公司者，負責法令遵循之單位</w:t>
            </w:r>
            <w:r>
              <w:rPr>
                <w:rFonts w:ascii="新細明體" w:eastAsia="新細明體" w:hAnsi="新細明體" w:cs="新細明體" w:hint="eastAsia"/>
              </w:rPr>
              <w:lastRenderedPageBreak/>
              <w:t>應督導國外分公司辦理下列事項：</w:t>
            </w:r>
          </w:p>
        </w:tc>
        <w:tc>
          <w:tcPr>
            <w:tcW w:w="2023" w:type="dxa"/>
            <w:vMerge/>
            <w:tcBorders>
              <w:right w:val="single" w:sz="12" w:space="0" w:color="auto"/>
            </w:tcBorders>
          </w:tcPr>
          <w:p w14:paraId="6CD669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DC390F" w14:textId="77777777">
        <w:tc>
          <w:tcPr>
            <w:tcW w:w="1384" w:type="dxa"/>
            <w:vMerge/>
            <w:tcBorders>
              <w:left w:val="single" w:sz="12" w:space="0" w:color="auto"/>
            </w:tcBorders>
          </w:tcPr>
          <w:p w14:paraId="2C616799" w14:textId="77777777" w:rsidR="003B3105" w:rsidRDefault="003B3105" w:rsidP="001E533B">
            <w:pPr>
              <w:rPr>
                <w:rFonts w:ascii="新細明體" w:eastAsia="新細明體" w:hAnsi="新細明體"/>
              </w:rPr>
            </w:pPr>
          </w:p>
        </w:tc>
        <w:tc>
          <w:tcPr>
            <w:tcW w:w="1276" w:type="dxa"/>
            <w:vMerge/>
          </w:tcPr>
          <w:p w14:paraId="2FD01C18" w14:textId="77777777" w:rsidR="003B3105" w:rsidRDefault="003B3105" w:rsidP="001E533B">
            <w:pPr>
              <w:rPr>
                <w:rFonts w:ascii="新細明體" w:eastAsia="新細明體" w:hAnsi="新細明體"/>
              </w:rPr>
            </w:pPr>
          </w:p>
        </w:tc>
        <w:tc>
          <w:tcPr>
            <w:tcW w:w="5386" w:type="dxa"/>
            <w:tcBorders>
              <w:top w:val="nil"/>
              <w:bottom w:val="nil"/>
            </w:tcBorders>
          </w:tcPr>
          <w:p w14:paraId="5DD2917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5387" w:type="dxa"/>
            <w:tcBorders>
              <w:top w:val="nil"/>
              <w:bottom w:val="nil"/>
            </w:tcBorders>
          </w:tcPr>
          <w:p w14:paraId="72229C4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1.蒐集當地金融法規資料、落實執行法令遵循自行評估作業、確保法令遵循主管適任性及法令遵循資源（含人員、配備及訓練） 是否適足等事項，以確保遵守其所在地國家之法令。</w:t>
            </w:r>
          </w:p>
        </w:tc>
        <w:tc>
          <w:tcPr>
            <w:tcW w:w="2023" w:type="dxa"/>
            <w:vMerge/>
            <w:tcBorders>
              <w:right w:val="single" w:sz="12" w:space="0" w:color="auto"/>
            </w:tcBorders>
          </w:tcPr>
          <w:p w14:paraId="34D13B4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B4B1E5" w14:textId="77777777">
        <w:tc>
          <w:tcPr>
            <w:tcW w:w="1384" w:type="dxa"/>
            <w:vMerge/>
            <w:tcBorders>
              <w:left w:val="single" w:sz="12" w:space="0" w:color="auto"/>
            </w:tcBorders>
          </w:tcPr>
          <w:p w14:paraId="7085D09C" w14:textId="77777777" w:rsidR="003B3105" w:rsidRDefault="003B3105" w:rsidP="001E533B">
            <w:pPr>
              <w:rPr>
                <w:rFonts w:ascii="新細明體" w:eastAsia="新細明體" w:hAnsi="新細明體"/>
              </w:rPr>
            </w:pPr>
          </w:p>
        </w:tc>
        <w:tc>
          <w:tcPr>
            <w:tcW w:w="1276" w:type="dxa"/>
            <w:vMerge/>
          </w:tcPr>
          <w:p w14:paraId="58A0DA8B" w14:textId="77777777" w:rsidR="003B3105" w:rsidRDefault="003B3105" w:rsidP="001E533B">
            <w:pPr>
              <w:rPr>
                <w:rFonts w:ascii="新細明體" w:eastAsia="新細明體" w:hAnsi="新細明體"/>
              </w:rPr>
            </w:pPr>
          </w:p>
        </w:tc>
        <w:tc>
          <w:tcPr>
            <w:tcW w:w="5386" w:type="dxa"/>
            <w:tcBorders>
              <w:top w:val="nil"/>
              <w:bottom w:val="nil"/>
            </w:tcBorders>
          </w:tcPr>
          <w:p w14:paraId="2DECF9A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5387" w:type="dxa"/>
            <w:tcBorders>
              <w:top w:val="nil"/>
              <w:bottom w:val="nil"/>
            </w:tcBorders>
          </w:tcPr>
          <w:p w14:paraId="7732A9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2.建立法令遵循風險之自行評估及監控機制，對於其中業務規模大、複雜度或風險程度高者，並應委請當地外部獨立專家驗證其法令遵循風險自行評估及監控機制之有效性。</w:t>
            </w:r>
          </w:p>
        </w:tc>
        <w:tc>
          <w:tcPr>
            <w:tcW w:w="2023" w:type="dxa"/>
            <w:vMerge/>
            <w:tcBorders>
              <w:right w:val="single" w:sz="12" w:space="0" w:color="auto"/>
            </w:tcBorders>
          </w:tcPr>
          <w:p w14:paraId="6D91FD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748AD2" w14:textId="77777777">
        <w:tc>
          <w:tcPr>
            <w:tcW w:w="1384" w:type="dxa"/>
            <w:vMerge/>
            <w:tcBorders>
              <w:left w:val="single" w:sz="12" w:space="0" w:color="auto"/>
            </w:tcBorders>
          </w:tcPr>
          <w:p w14:paraId="73194992" w14:textId="77777777" w:rsidR="003B3105" w:rsidRDefault="003B3105" w:rsidP="001E533B">
            <w:pPr>
              <w:rPr>
                <w:rFonts w:ascii="新細明體" w:eastAsia="新細明體" w:hAnsi="新細明體"/>
              </w:rPr>
            </w:pPr>
          </w:p>
        </w:tc>
        <w:tc>
          <w:tcPr>
            <w:tcW w:w="1276" w:type="dxa"/>
            <w:vMerge/>
          </w:tcPr>
          <w:p w14:paraId="2C286CC3" w14:textId="77777777" w:rsidR="003B3105" w:rsidRDefault="003B3105" w:rsidP="001E533B">
            <w:pPr>
              <w:rPr>
                <w:rFonts w:ascii="新細明體" w:eastAsia="新細明體" w:hAnsi="新細明體"/>
              </w:rPr>
            </w:pPr>
          </w:p>
        </w:tc>
        <w:tc>
          <w:tcPr>
            <w:tcW w:w="5386" w:type="dxa"/>
            <w:tcBorders>
              <w:top w:val="nil"/>
              <w:bottom w:val="nil"/>
            </w:tcBorders>
          </w:tcPr>
          <w:p w14:paraId="25E13F1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每年至少須辦理一次（金融控股公司之子公司每半年至少須辦理一次），其辦理結果應送法令遵循單位備查。各單位辦理自行評估作業，應由該單位主管指定專人辦理。「法令遵循自行評估表」（代自行評估工作底稿）及資料應至少保存五年。</w:t>
            </w:r>
          </w:p>
        </w:tc>
        <w:tc>
          <w:tcPr>
            <w:tcW w:w="5387" w:type="dxa"/>
            <w:tcBorders>
              <w:top w:val="nil"/>
              <w:bottom w:val="nil"/>
            </w:tcBorders>
          </w:tcPr>
          <w:p w14:paraId="4D3E55C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法令遵循自行評估作業，每年至少須辦理一次（金融控股公司之子公司每半年至少須辦理一次），其辦理結果應送法令遵循單位備查。各單位辦理自行評估作業，應由該單位主管指定專人辦理。「法令遵循自行評估表」（代自行評估工作底稿）及資料應至少保存五年。</w:t>
            </w:r>
          </w:p>
        </w:tc>
        <w:tc>
          <w:tcPr>
            <w:tcW w:w="2023" w:type="dxa"/>
            <w:vMerge/>
            <w:tcBorders>
              <w:right w:val="single" w:sz="12" w:space="0" w:color="auto"/>
            </w:tcBorders>
          </w:tcPr>
          <w:p w14:paraId="6B6DC0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E0A3FD" w14:textId="77777777">
        <w:tc>
          <w:tcPr>
            <w:tcW w:w="1384" w:type="dxa"/>
            <w:vMerge/>
            <w:tcBorders>
              <w:left w:val="single" w:sz="12" w:space="0" w:color="auto"/>
            </w:tcBorders>
          </w:tcPr>
          <w:p w14:paraId="4DFE9000" w14:textId="77777777" w:rsidR="003B3105" w:rsidRDefault="003B3105" w:rsidP="001E533B">
            <w:pPr>
              <w:rPr>
                <w:rFonts w:ascii="新細明體" w:eastAsia="新細明體" w:hAnsi="新細明體"/>
              </w:rPr>
            </w:pPr>
          </w:p>
        </w:tc>
        <w:tc>
          <w:tcPr>
            <w:tcW w:w="1276" w:type="dxa"/>
            <w:vMerge/>
          </w:tcPr>
          <w:p w14:paraId="39E737A0" w14:textId="77777777" w:rsidR="003B3105" w:rsidRDefault="003B3105" w:rsidP="001E533B">
            <w:pPr>
              <w:rPr>
                <w:rFonts w:ascii="新細明體" w:eastAsia="新細明體" w:hAnsi="新細明體"/>
              </w:rPr>
            </w:pPr>
          </w:p>
        </w:tc>
        <w:tc>
          <w:tcPr>
            <w:tcW w:w="5386" w:type="dxa"/>
            <w:tcBorders>
              <w:top w:val="nil"/>
              <w:bottom w:val="nil"/>
            </w:tcBorders>
          </w:tcPr>
          <w:p w14:paraId="764DD6F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(六)內部稽核單位應將法令遵循制度之執行情形，併入對業務及管理單位之查核。</w:t>
            </w:r>
          </w:p>
        </w:tc>
        <w:tc>
          <w:tcPr>
            <w:tcW w:w="5387" w:type="dxa"/>
            <w:tcBorders>
              <w:top w:val="nil"/>
              <w:bottom w:val="nil"/>
            </w:tcBorders>
          </w:tcPr>
          <w:p w14:paraId="233D3D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(六)內部稽核單位應將法令遵循制度之執行情形，併入對業務及管理單位之查核。</w:t>
            </w:r>
          </w:p>
        </w:tc>
        <w:tc>
          <w:tcPr>
            <w:tcW w:w="2023" w:type="dxa"/>
            <w:vMerge/>
            <w:tcBorders>
              <w:right w:val="single" w:sz="12" w:space="0" w:color="auto"/>
            </w:tcBorders>
          </w:tcPr>
          <w:p w14:paraId="7F6FAA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6B0672" w14:textId="77777777">
        <w:tc>
          <w:tcPr>
            <w:tcW w:w="1384" w:type="dxa"/>
            <w:vMerge/>
            <w:tcBorders>
              <w:left w:val="single" w:sz="12" w:space="0" w:color="auto"/>
            </w:tcBorders>
          </w:tcPr>
          <w:p w14:paraId="3A0015B9" w14:textId="77777777" w:rsidR="003B3105" w:rsidRDefault="003B3105" w:rsidP="001E533B">
            <w:pPr>
              <w:rPr>
                <w:rFonts w:ascii="新細明體" w:eastAsia="新細明體" w:hAnsi="新細明體"/>
              </w:rPr>
            </w:pPr>
          </w:p>
        </w:tc>
        <w:tc>
          <w:tcPr>
            <w:tcW w:w="1276" w:type="dxa"/>
            <w:vMerge/>
          </w:tcPr>
          <w:p w14:paraId="304E3AF1" w14:textId="77777777" w:rsidR="003B3105" w:rsidRDefault="003B3105" w:rsidP="001E533B">
            <w:pPr>
              <w:rPr>
                <w:rFonts w:ascii="新細明體" w:eastAsia="新細明體" w:hAnsi="新細明體"/>
              </w:rPr>
            </w:pPr>
          </w:p>
        </w:tc>
        <w:tc>
          <w:tcPr>
            <w:tcW w:w="5386" w:type="dxa"/>
            <w:tcBorders>
              <w:top w:val="nil"/>
              <w:bottom w:val="nil"/>
            </w:tcBorders>
          </w:tcPr>
          <w:p w14:paraId="4437F6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(七)法令遵循單位應配置法令遵循主管，綜理法令遵循業務，除兼任法務單位主管與防制洗錢及打擊資恐專責單位主管外，不得兼任內部其他職務。</w:t>
            </w:r>
          </w:p>
        </w:tc>
        <w:tc>
          <w:tcPr>
            <w:tcW w:w="5387" w:type="dxa"/>
            <w:tcBorders>
              <w:top w:val="nil"/>
              <w:bottom w:val="nil"/>
            </w:tcBorders>
          </w:tcPr>
          <w:p w14:paraId="31EA543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(七)法令遵循單位應配置法令遵循主管，綜理法令遵循業務，除兼任法務單位主管與防制洗錢及打擊資恐專責單位主管外，不得兼任內部其他職務。</w:t>
            </w:r>
          </w:p>
        </w:tc>
        <w:tc>
          <w:tcPr>
            <w:tcW w:w="2023" w:type="dxa"/>
            <w:vMerge/>
            <w:tcBorders>
              <w:right w:val="single" w:sz="12" w:space="0" w:color="auto"/>
            </w:tcBorders>
          </w:tcPr>
          <w:p w14:paraId="05AE72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FE5486" w14:textId="77777777">
        <w:tc>
          <w:tcPr>
            <w:tcW w:w="1384" w:type="dxa"/>
            <w:vMerge/>
            <w:tcBorders>
              <w:left w:val="single" w:sz="12" w:space="0" w:color="auto"/>
            </w:tcBorders>
          </w:tcPr>
          <w:p w14:paraId="74E2FF81" w14:textId="77777777" w:rsidR="003B3105" w:rsidRDefault="003B3105" w:rsidP="001E533B">
            <w:pPr>
              <w:rPr>
                <w:rFonts w:ascii="新細明體" w:eastAsia="新細明體" w:hAnsi="新細明體"/>
              </w:rPr>
            </w:pPr>
          </w:p>
        </w:tc>
        <w:tc>
          <w:tcPr>
            <w:tcW w:w="1276" w:type="dxa"/>
            <w:vMerge/>
          </w:tcPr>
          <w:p w14:paraId="4370EBA1" w14:textId="77777777" w:rsidR="003B3105" w:rsidRDefault="003B3105" w:rsidP="001E533B">
            <w:pPr>
              <w:rPr>
                <w:rFonts w:ascii="新細明體" w:eastAsia="新細明體" w:hAnsi="新細明體"/>
              </w:rPr>
            </w:pPr>
          </w:p>
        </w:tc>
        <w:tc>
          <w:tcPr>
            <w:tcW w:w="5386" w:type="dxa"/>
            <w:tcBorders>
              <w:top w:val="nil"/>
              <w:bottom w:val="nil"/>
            </w:tcBorders>
          </w:tcPr>
          <w:p w14:paraId="5E0C4B6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(八)法令遵循主管應符合證券商負責人及業務人員管理規則第五條所訂之資格條件。</w:t>
            </w:r>
          </w:p>
        </w:tc>
        <w:tc>
          <w:tcPr>
            <w:tcW w:w="5387" w:type="dxa"/>
            <w:tcBorders>
              <w:top w:val="nil"/>
              <w:bottom w:val="nil"/>
            </w:tcBorders>
          </w:tcPr>
          <w:p w14:paraId="18B5153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(八)法令遵循主管應符合證券商負責人及業務人員管理規則第五條所訂之資格條件。</w:t>
            </w:r>
          </w:p>
        </w:tc>
        <w:tc>
          <w:tcPr>
            <w:tcW w:w="2023" w:type="dxa"/>
            <w:vMerge/>
            <w:tcBorders>
              <w:right w:val="single" w:sz="12" w:space="0" w:color="auto"/>
            </w:tcBorders>
          </w:tcPr>
          <w:p w14:paraId="75FCC4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13733A" w14:textId="77777777">
        <w:tc>
          <w:tcPr>
            <w:tcW w:w="1384" w:type="dxa"/>
            <w:vMerge/>
            <w:tcBorders>
              <w:left w:val="single" w:sz="12" w:space="0" w:color="auto"/>
            </w:tcBorders>
          </w:tcPr>
          <w:p w14:paraId="43FD8DCB" w14:textId="77777777" w:rsidR="003B3105" w:rsidRDefault="003B3105" w:rsidP="001E533B">
            <w:pPr>
              <w:rPr>
                <w:rFonts w:ascii="新細明體" w:eastAsia="新細明體" w:hAnsi="新細明體"/>
              </w:rPr>
            </w:pPr>
          </w:p>
        </w:tc>
        <w:tc>
          <w:tcPr>
            <w:tcW w:w="1276" w:type="dxa"/>
            <w:vMerge/>
          </w:tcPr>
          <w:p w14:paraId="71357AFC" w14:textId="77777777" w:rsidR="003B3105" w:rsidRDefault="003B3105" w:rsidP="001E533B">
            <w:pPr>
              <w:rPr>
                <w:rFonts w:ascii="新細明體" w:eastAsia="新細明體" w:hAnsi="新細明體"/>
              </w:rPr>
            </w:pPr>
          </w:p>
        </w:tc>
        <w:tc>
          <w:tcPr>
            <w:tcW w:w="5386" w:type="dxa"/>
            <w:tcBorders>
              <w:top w:val="nil"/>
              <w:bottom w:val="nil"/>
            </w:tcBorders>
          </w:tcPr>
          <w:p w14:paraId="2BBC186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(九)法令遵循單位應配置適足適任之業務人</w:t>
            </w:r>
            <w:r>
              <w:rPr>
                <w:rFonts w:ascii="新細明體" w:eastAsia="新細明體" w:hAnsi="新細明體" w:cs="新細明體" w:hint="eastAsia"/>
              </w:rPr>
              <w:lastRenderedPageBreak/>
              <w:t>員，其資格條件應符合證券商負責人及業務人員管理規則第六條之條件。</w:t>
            </w:r>
          </w:p>
        </w:tc>
        <w:tc>
          <w:tcPr>
            <w:tcW w:w="5387" w:type="dxa"/>
            <w:tcBorders>
              <w:top w:val="nil"/>
              <w:bottom w:val="nil"/>
            </w:tcBorders>
          </w:tcPr>
          <w:p w14:paraId="69FFD4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(九)法令遵循單位應配置適足適任之業務人</w:t>
            </w:r>
            <w:r>
              <w:rPr>
                <w:rFonts w:ascii="新細明體" w:eastAsia="新細明體" w:hAnsi="新細明體" w:cs="新細明體" w:hint="eastAsia"/>
              </w:rPr>
              <w:lastRenderedPageBreak/>
              <w:t>員，其資格條件應符合證券商負責人及業務人員管理規則第六條之條件。</w:t>
            </w:r>
          </w:p>
        </w:tc>
        <w:tc>
          <w:tcPr>
            <w:tcW w:w="2023" w:type="dxa"/>
            <w:vMerge/>
            <w:tcBorders>
              <w:right w:val="single" w:sz="12" w:space="0" w:color="auto"/>
            </w:tcBorders>
          </w:tcPr>
          <w:p w14:paraId="16769A8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56751" w14:textId="77777777">
        <w:tc>
          <w:tcPr>
            <w:tcW w:w="1384" w:type="dxa"/>
            <w:vMerge/>
            <w:tcBorders>
              <w:left w:val="single" w:sz="12" w:space="0" w:color="auto"/>
            </w:tcBorders>
          </w:tcPr>
          <w:p w14:paraId="083862C6" w14:textId="77777777" w:rsidR="003B3105" w:rsidRDefault="003B3105" w:rsidP="001E533B">
            <w:pPr>
              <w:rPr>
                <w:rFonts w:ascii="新細明體" w:eastAsia="新細明體" w:hAnsi="新細明體"/>
              </w:rPr>
            </w:pPr>
          </w:p>
        </w:tc>
        <w:tc>
          <w:tcPr>
            <w:tcW w:w="1276" w:type="dxa"/>
            <w:vMerge/>
          </w:tcPr>
          <w:p w14:paraId="7631EC37" w14:textId="77777777" w:rsidR="003B3105" w:rsidRDefault="003B3105" w:rsidP="001E533B">
            <w:pPr>
              <w:rPr>
                <w:rFonts w:ascii="新細明體" w:eastAsia="新細明體" w:hAnsi="新細明體"/>
              </w:rPr>
            </w:pPr>
          </w:p>
        </w:tc>
        <w:tc>
          <w:tcPr>
            <w:tcW w:w="5386" w:type="dxa"/>
            <w:tcBorders>
              <w:top w:val="nil"/>
              <w:bottom w:val="nil"/>
            </w:tcBorders>
          </w:tcPr>
          <w:p w14:paraId="743FF3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(十)證券商推出各項新商品、服務及申請開辦新種業務前，法令遵循主管應出具符合法令及內部規範之意見並簽署負責。</w:t>
            </w:r>
          </w:p>
        </w:tc>
        <w:tc>
          <w:tcPr>
            <w:tcW w:w="5387" w:type="dxa"/>
            <w:tcBorders>
              <w:top w:val="nil"/>
              <w:bottom w:val="nil"/>
            </w:tcBorders>
          </w:tcPr>
          <w:p w14:paraId="54625AE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(十)證券商推出各項新商品、服務及申請開辦新種業務前，法令遵循主管應出具符合法令及內部規範之意見並簽署負責。</w:t>
            </w:r>
          </w:p>
        </w:tc>
        <w:tc>
          <w:tcPr>
            <w:tcW w:w="2023" w:type="dxa"/>
            <w:vMerge/>
            <w:tcBorders>
              <w:right w:val="single" w:sz="12" w:space="0" w:color="auto"/>
            </w:tcBorders>
          </w:tcPr>
          <w:p w14:paraId="5C46F6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(十一)法令遵循主管及業務人員資料之登記與變更，應向證交所辦理申報。</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(十一)法令遵循主管及業務人員資料之登記與變更，應向證交所辦理申報。</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23EBB0D" w14:textId="77777777" w:rsidR="001E533B" w:rsidRPr="00F6439B" w:rsidRDefault="001E533B" w:rsidP="00A24FFC">
      <w:pPr>
        <w:rPr>
          <w:rFonts w:ascii="新細明體" w:eastAsia="新細明體" w:hAnsi="新細明體"/>
        </w:rPr>
      </w:pPr>
    </w:p>
    <w:sectPr w:rsidR="001E533B" w:rsidRPr="00F6439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B28A" w14:textId="77777777" w:rsidR="00EF4E1B" w:rsidRDefault="00EF4E1B" w:rsidP="00E87601">
      <w:pPr>
        <w:spacing w:line="240" w:lineRule="auto"/>
      </w:pPr>
      <w:r>
        <w:separator/>
      </w:r>
    </w:p>
  </w:endnote>
  <w:endnote w:type="continuationSeparator" w:id="0">
    <w:p w14:paraId="598222EA" w14:textId="77777777" w:rsidR="00EF4E1B" w:rsidRDefault="00EF4E1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CAE6D" w14:textId="77777777" w:rsidR="00EF4E1B" w:rsidRDefault="00EF4E1B" w:rsidP="00E87601">
      <w:pPr>
        <w:spacing w:line="240" w:lineRule="auto"/>
      </w:pPr>
      <w:r>
        <w:separator/>
      </w:r>
    </w:p>
  </w:footnote>
  <w:footnote w:type="continuationSeparator" w:id="0">
    <w:p w14:paraId="27E6ED0B" w14:textId="77777777" w:rsidR="00EF4E1B" w:rsidRDefault="00EF4E1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64B8"/>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2D5"/>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4E1B"/>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333</Words>
  <Characters>1901</Characters>
  <Application>Microsoft Office Word</Application>
  <DocSecurity>0</DocSecurity>
  <Lines>15</Lines>
  <Paragraphs>4</Paragraphs>
  <ScaleCrop>false</ScaleCrop>
  <Company>Hewlett-Packard Company</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2</cp:revision>
  <cp:lastPrinted>2004-03-09T19:20:00Z</cp:lastPrinted>
  <dcterms:created xsi:type="dcterms:W3CDTF">2026-03-08T05:57:00Z</dcterms:created>
  <dcterms:modified xsi:type="dcterms:W3CDTF">2026-03-08T05:57:00Z</dcterms:modified>
</cp:coreProperties>
</file>